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09" w:rsidRDefault="004A678E">
      <w:pPr>
        <w:spacing w:before="100" w:beforeAutospacing="1" w:after="100" w:afterAutospacing="1" w:line="360" w:lineRule="auto"/>
        <w:jc w:val="left"/>
        <w:rPr>
          <w:rFonts w:ascii="黑体" w:eastAsia="黑体" w:cs="Arial"/>
          <w:sz w:val="32"/>
          <w:szCs w:val="32"/>
        </w:rPr>
      </w:pPr>
      <w:r>
        <w:rPr>
          <w:rFonts w:ascii="黑体" w:eastAsia="黑体" w:cs="Arial" w:hint="eastAsia"/>
          <w:sz w:val="32"/>
          <w:szCs w:val="32"/>
        </w:rPr>
        <w:t>附件2</w:t>
      </w:r>
    </w:p>
    <w:p w:rsidR="00CB5209" w:rsidRDefault="004A678E">
      <w:pPr>
        <w:spacing w:beforeLines="150" w:before="468"/>
        <w:jc w:val="center"/>
        <w:rPr>
          <w:rFonts w:ascii="方正小标宋简体" w:eastAsia="方正小标宋简体" w:hAnsi="Calibri"/>
          <w:bCs/>
          <w:spacing w:val="-2"/>
          <w:sz w:val="44"/>
          <w:szCs w:val="44"/>
        </w:rPr>
      </w:pPr>
      <w:proofErr w:type="gramStart"/>
      <w:r>
        <w:rPr>
          <w:rFonts w:ascii="方正小标宋简体" w:eastAsia="方正小标宋简体" w:hAnsi="Calibri" w:hint="eastAsia"/>
          <w:bCs/>
          <w:spacing w:val="-2"/>
          <w:sz w:val="44"/>
          <w:szCs w:val="44"/>
        </w:rPr>
        <w:t>《</w:t>
      </w:r>
      <w:proofErr w:type="gramEnd"/>
      <w:r>
        <w:rPr>
          <w:rFonts w:ascii="方正小标宋简体" w:eastAsia="方正小标宋简体" w:hAnsi="Calibri" w:hint="eastAsia"/>
          <w:bCs/>
          <w:spacing w:val="-2"/>
          <w:sz w:val="44"/>
          <w:szCs w:val="44"/>
        </w:rPr>
        <w:t>资产评估专家指引第</w:t>
      </w:r>
      <w:r w:rsidR="00201EB3">
        <w:rPr>
          <w:rFonts w:ascii="方正小标宋简体" w:eastAsia="方正小标宋简体" w:hAnsi="Calibri" w:hint="eastAsia"/>
          <w:bCs/>
          <w:spacing w:val="-2"/>
          <w:sz w:val="44"/>
          <w:szCs w:val="44"/>
        </w:rPr>
        <w:t>XX</w:t>
      </w:r>
      <w:r>
        <w:rPr>
          <w:rFonts w:ascii="方正小标宋简体" w:eastAsia="方正小标宋简体" w:hAnsi="Calibri" w:hint="eastAsia"/>
          <w:bCs/>
          <w:spacing w:val="-2"/>
          <w:sz w:val="44"/>
          <w:szCs w:val="44"/>
        </w:rPr>
        <w:t>号</w:t>
      </w:r>
      <w:r>
        <w:rPr>
          <w:rFonts w:eastAsia="方正小标宋简体"/>
          <w:bCs/>
          <w:spacing w:val="-2"/>
          <w:sz w:val="72"/>
          <w:szCs w:val="44"/>
        </w:rPr>
        <w:t>—</w:t>
      </w:r>
      <w:r>
        <w:rPr>
          <w:rFonts w:ascii="方正小标宋简体" w:eastAsia="方正小标宋简体" w:hAnsi="Calibri" w:hint="eastAsia"/>
          <w:bCs/>
          <w:spacing w:val="-2"/>
          <w:sz w:val="44"/>
          <w:szCs w:val="44"/>
        </w:rPr>
        <w:t>境外并购</w:t>
      </w:r>
    </w:p>
    <w:p w:rsidR="00CB5209" w:rsidRDefault="004A678E">
      <w:pPr>
        <w:jc w:val="center"/>
        <w:rPr>
          <w:rFonts w:ascii="方正小标宋简体" w:eastAsia="方正小标宋简体" w:hAnsi="Calibri"/>
          <w:bCs/>
          <w:spacing w:val="-2"/>
          <w:sz w:val="44"/>
          <w:szCs w:val="44"/>
        </w:rPr>
      </w:pPr>
      <w:r>
        <w:rPr>
          <w:rFonts w:ascii="方正小标宋简体" w:eastAsia="方正小标宋简体" w:hAnsi="Calibri" w:hint="eastAsia"/>
          <w:bCs/>
          <w:spacing w:val="-2"/>
          <w:sz w:val="44"/>
          <w:szCs w:val="44"/>
        </w:rPr>
        <w:t>（征求意见稿）</w:t>
      </w:r>
      <w:proofErr w:type="gramStart"/>
      <w:r>
        <w:rPr>
          <w:rFonts w:ascii="方正小标宋简体" w:eastAsia="方正小标宋简体" w:hAnsi="Calibri" w:hint="eastAsia"/>
          <w:bCs/>
          <w:spacing w:val="-2"/>
          <w:sz w:val="44"/>
          <w:szCs w:val="44"/>
        </w:rPr>
        <w:t>》</w:t>
      </w:r>
      <w:proofErr w:type="gramEnd"/>
      <w:r>
        <w:rPr>
          <w:rFonts w:ascii="方正小标宋简体" w:eastAsia="方正小标宋简体" w:hAnsi="Calibri" w:hint="eastAsia"/>
          <w:bCs/>
          <w:spacing w:val="-2"/>
          <w:sz w:val="44"/>
          <w:szCs w:val="44"/>
        </w:rPr>
        <w:t>起草说明</w:t>
      </w:r>
    </w:p>
    <w:p w:rsidR="00CB5209" w:rsidRDefault="00CB5209" w:rsidP="00B93DE5">
      <w:pPr>
        <w:widowControl/>
        <w:spacing w:line="360" w:lineRule="auto"/>
        <w:ind w:firstLineChars="200" w:firstLine="607"/>
        <w:rPr>
          <w:rFonts w:eastAsia="仿宋_GB2312"/>
          <w:sz w:val="32"/>
          <w:szCs w:val="32"/>
        </w:rPr>
      </w:pPr>
    </w:p>
    <w:p w:rsidR="00CB5209" w:rsidRDefault="004A678E" w:rsidP="00B93DE5">
      <w:pPr>
        <w:widowControl/>
        <w:spacing w:line="620" w:lineRule="atLeast"/>
        <w:ind w:firstLineChars="200" w:firstLine="607"/>
        <w:rPr>
          <w:rFonts w:eastAsia="仿宋_GB2312"/>
          <w:sz w:val="32"/>
          <w:szCs w:val="32"/>
        </w:rPr>
      </w:pPr>
      <w:r>
        <w:rPr>
          <w:rFonts w:eastAsia="仿宋_GB2312" w:hint="eastAsia"/>
          <w:sz w:val="32"/>
          <w:szCs w:val="32"/>
        </w:rPr>
        <w:t>为</w:t>
      </w:r>
      <w:r>
        <w:rPr>
          <w:rFonts w:eastAsia="仿宋_GB2312"/>
          <w:sz w:val="32"/>
          <w:szCs w:val="32"/>
        </w:rPr>
        <w:t>指导</w:t>
      </w:r>
      <w:r>
        <w:rPr>
          <w:rFonts w:eastAsia="仿宋_GB2312" w:hint="eastAsia"/>
          <w:sz w:val="32"/>
          <w:szCs w:val="32"/>
        </w:rPr>
        <w:t>境外并购资产评估业务行为，中国资产评估协会研究起草了《资产评估专家指引第</w:t>
      </w:r>
      <w:r w:rsidR="00201EB3" w:rsidRPr="00201EB3">
        <w:rPr>
          <w:rFonts w:ascii="仿宋" w:eastAsia="仿宋" w:hAnsi="仿宋" w:hint="eastAsia"/>
          <w:sz w:val="32"/>
          <w:szCs w:val="32"/>
        </w:rPr>
        <w:t>XX</w:t>
      </w:r>
      <w:r>
        <w:rPr>
          <w:rFonts w:eastAsia="仿宋_GB2312" w:hint="eastAsia"/>
          <w:sz w:val="32"/>
          <w:szCs w:val="32"/>
        </w:rPr>
        <w:t>号</w:t>
      </w:r>
      <w:r>
        <w:rPr>
          <w:rFonts w:eastAsia="仿宋_GB2312"/>
          <w:sz w:val="32"/>
          <w:szCs w:val="32"/>
        </w:rPr>
        <w:t>——</w:t>
      </w:r>
      <w:r>
        <w:rPr>
          <w:rFonts w:eastAsia="仿宋_GB2312" w:hint="eastAsia"/>
          <w:sz w:val="32"/>
          <w:szCs w:val="32"/>
        </w:rPr>
        <w:t>境外并购（征求意见稿）》（以下简称专家指引），为便于理解，现就有关情况说明如下。</w:t>
      </w:r>
      <w:bookmarkStart w:id="0" w:name="_GoBack"/>
      <w:bookmarkEnd w:id="0"/>
    </w:p>
    <w:p w:rsidR="00CB5209" w:rsidRDefault="004A678E" w:rsidP="00B93DE5">
      <w:pPr>
        <w:widowControl/>
        <w:spacing w:beforeLines="50" w:before="156" w:afterLines="50" w:after="156" w:line="360" w:lineRule="auto"/>
        <w:ind w:firstLineChars="200" w:firstLine="607"/>
        <w:rPr>
          <w:rFonts w:ascii="黑体" w:eastAsia="黑体" w:cs="宋体"/>
          <w:bCs/>
          <w:kern w:val="0"/>
          <w:sz w:val="32"/>
          <w:szCs w:val="32"/>
        </w:rPr>
      </w:pPr>
      <w:r>
        <w:rPr>
          <w:rFonts w:ascii="黑体" w:eastAsia="黑体" w:cs="宋体" w:hint="eastAsia"/>
          <w:bCs/>
          <w:kern w:val="0"/>
          <w:sz w:val="32"/>
          <w:szCs w:val="32"/>
        </w:rPr>
        <w:t>一、专家指引制定的必要性</w:t>
      </w:r>
    </w:p>
    <w:p w:rsidR="00CB5209" w:rsidRDefault="004A678E" w:rsidP="00B93DE5">
      <w:pPr>
        <w:spacing w:line="620" w:lineRule="atLeast"/>
        <w:ind w:firstLineChars="200" w:firstLine="607"/>
        <w:rPr>
          <w:rFonts w:eastAsia="仿宋_GB2312"/>
          <w:sz w:val="32"/>
          <w:szCs w:val="32"/>
        </w:rPr>
      </w:pPr>
      <w:r>
        <w:rPr>
          <w:rFonts w:eastAsia="仿宋_GB2312" w:hint="eastAsia"/>
          <w:sz w:val="32"/>
          <w:szCs w:val="32"/>
        </w:rPr>
        <w:t>近年来，在国家政策鼓励指引下，越来越多的中国企业积极开展境外并购活动，境外并购已成为我国企业步入国际市场、实现规模扩张和获得各类资源的有效途径。但在具体操作中，对境外并购标的资产的价值评估在不同国家或者地区、不同行业中适用条件不尽相同，如何在现有《资产评估法》和资产评估准则要求下，合理合法地开展境外并购资产评估业务，成为很多资产评估机构的难点问题。</w:t>
      </w:r>
    </w:p>
    <w:p w:rsidR="00CB5209" w:rsidRDefault="004A678E" w:rsidP="00B93DE5">
      <w:pPr>
        <w:spacing w:line="620" w:lineRule="atLeast"/>
        <w:ind w:firstLineChars="200" w:firstLine="607"/>
        <w:rPr>
          <w:rFonts w:eastAsia="仿宋_GB2312"/>
          <w:sz w:val="32"/>
          <w:szCs w:val="32"/>
        </w:rPr>
      </w:pPr>
      <w:r>
        <w:rPr>
          <w:rFonts w:eastAsia="仿宋_GB2312" w:hint="eastAsia"/>
          <w:sz w:val="32"/>
          <w:szCs w:val="32"/>
        </w:rPr>
        <w:t>目前，我国并</w:t>
      </w:r>
      <w:proofErr w:type="gramStart"/>
      <w:r>
        <w:rPr>
          <w:rFonts w:eastAsia="仿宋_GB2312" w:hint="eastAsia"/>
          <w:sz w:val="32"/>
          <w:szCs w:val="32"/>
        </w:rPr>
        <w:t>未发布</w:t>
      </w:r>
      <w:proofErr w:type="gramEnd"/>
      <w:r>
        <w:rPr>
          <w:rFonts w:eastAsia="仿宋_GB2312" w:hint="eastAsia"/>
          <w:sz w:val="32"/>
          <w:szCs w:val="32"/>
        </w:rPr>
        <w:t>境外并购资产评估业务专门的资产评估准则或者相关指引，在此背景下，探索在现有《资产评估法》和资产评估准则及有关规定框架下，如何完善境外并购资产评估业务流程、恰当执行评估程序、合理选择评估方法及相关评</w:t>
      </w:r>
      <w:r>
        <w:rPr>
          <w:rFonts w:eastAsia="仿宋_GB2312" w:hint="eastAsia"/>
          <w:sz w:val="32"/>
          <w:szCs w:val="32"/>
        </w:rPr>
        <w:lastRenderedPageBreak/>
        <w:t>估参数、编制资产评估报告并恰当披露相关信息，从而有效地开展境外并购资产评估业务，显得十分必要。</w:t>
      </w:r>
    </w:p>
    <w:p w:rsidR="00CB5209" w:rsidRDefault="004A678E" w:rsidP="00B93DE5">
      <w:pPr>
        <w:widowControl/>
        <w:spacing w:beforeLines="50" w:before="156" w:afterLines="50" w:after="156" w:line="360" w:lineRule="auto"/>
        <w:ind w:firstLineChars="200" w:firstLine="607"/>
        <w:rPr>
          <w:rFonts w:ascii="黑体" w:eastAsia="黑体" w:cs="宋体"/>
          <w:bCs/>
          <w:kern w:val="0"/>
          <w:sz w:val="32"/>
          <w:szCs w:val="32"/>
        </w:rPr>
      </w:pPr>
      <w:r>
        <w:rPr>
          <w:rFonts w:ascii="黑体" w:eastAsia="黑体" w:cs="宋体" w:hint="eastAsia"/>
          <w:bCs/>
          <w:kern w:val="0"/>
          <w:sz w:val="32"/>
          <w:szCs w:val="32"/>
        </w:rPr>
        <w:t>二、专家指引定位</w:t>
      </w:r>
    </w:p>
    <w:p w:rsidR="00CB5209" w:rsidRDefault="004A678E" w:rsidP="00B93DE5">
      <w:pPr>
        <w:widowControl/>
        <w:spacing w:line="620" w:lineRule="atLeast"/>
        <w:ind w:firstLine="641"/>
        <w:rPr>
          <w:rFonts w:eastAsia="仿宋_GB2312"/>
          <w:sz w:val="32"/>
          <w:szCs w:val="32"/>
        </w:rPr>
      </w:pPr>
      <w:r>
        <w:rPr>
          <w:rFonts w:eastAsia="仿宋_GB2312" w:hint="eastAsia"/>
          <w:sz w:val="32"/>
          <w:szCs w:val="32"/>
        </w:rPr>
        <w:t>境外并购是一项复杂、跨国际、多重风险并存的经济活动，为了规范市场主体的境外并购行为、引导资源在全球范围内的合理配置、服务境外国有资本管理、维护社会公共利益等，同时也为了与现有资产评估准则对接，专家指引定位于针对境外企业开展的资产评估业务，并按照《资产评估执业准则</w:t>
      </w:r>
      <w:r>
        <w:rPr>
          <w:rFonts w:eastAsia="仿宋_GB2312"/>
          <w:sz w:val="32"/>
          <w:szCs w:val="32"/>
        </w:rPr>
        <w:t>——</w:t>
      </w:r>
      <w:r>
        <w:rPr>
          <w:rFonts w:eastAsia="仿宋_GB2312" w:hint="eastAsia"/>
          <w:sz w:val="32"/>
          <w:szCs w:val="32"/>
        </w:rPr>
        <w:t>资产评估报告》编制出具资产评估报告的情形。</w:t>
      </w:r>
    </w:p>
    <w:p w:rsidR="00CB5209" w:rsidRDefault="004A678E" w:rsidP="00B93DE5">
      <w:pPr>
        <w:widowControl/>
        <w:spacing w:line="620" w:lineRule="atLeast"/>
        <w:ind w:firstLine="641"/>
        <w:rPr>
          <w:rFonts w:eastAsia="仿宋_GB2312"/>
          <w:sz w:val="32"/>
          <w:szCs w:val="32"/>
        </w:rPr>
      </w:pPr>
      <w:r>
        <w:rPr>
          <w:rFonts w:eastAsia="仿宋_GB2312" w:hint="eastAsia"/>
          <w:sz w:val="32"/>
          <w:szCs w:val="32"/>
        </w:rPr>
        <w:t>对于境外并购涉及的其他评估业务类型，如境外并购涉及的资产评估咨询业务，也可以参考专家指引。例如，部分境外并购业务涉及的估值模型或者估值方法按照委托人需求采用国际通用做法进行，估值报告格式与内容都可能是按照并购决策需求编制的，对于这些情形，可以由资产评估机构和资产评估专业人员根据评估业务的具体情况，自行决定。</w:t>
      </w:r>
    </w:p>
    <w:p w:rsidR="00CB5209" w:rsidRDefault="004A678E" w:rsidP="00B93DE5">
      <w:pPr>
        <w:widowControl/>
        <w:spacing w:beforeLines="50" w:before="156" w:afterLines="50" w:after="156" w:line="360" w:lineRule="auto"/>
        <w:ind w:firstLineChars="200" w:firstLine="607"/>
        <w:rPr>
          <w:rFonts w:ascii="黑体" w:eastAsia="黑体" w:cs="宋体"/>
          <w:bCs/>
          <w:kern w:val="0"/>
          <w:sz w:val="32"/>
          <w:szCs w:val="32"/>
        </w:rPr>
      </w:pPr>
      <w:r>
        <w:rPr>
          <w:rFonts w:ascii="黑体" w:eastAsia="黑体" w:cs="宋体" w:hint="eastAsia"/>
          <w:bCs/>
          <w:kern w:val="0"/>
          <w:sz w:val="32"/>
          <w:szCs w:val="32"/>
        </w:rPr>
        <w:t>三、起草过程</w:t>
      </w:r>
    </w:p>
    <w:p w:rsidR="00CB5209" w:rsidRDefault="004A678E" w:rsidP="00B93DE5">
      <w:pPr>
        <w:spacing w:line="620" w:lineRule="atLeast"/>
        <w:ind w:firstLineChars="200" w:firstLine="607"/>
        <w:rPr>
          <w:rFonts w:eastAsia="仿宋_GB2312"/>
          <w:sz w:val="32"/>
          <w:szCs w:val="32"/>
        </w:rPr>
      </w:pPr>
      <w:r>
        <w:rPr>
          <w:rFonts w:eastAsia="仿宋_GB2312" w:hint="eastAsia"/>
          <w:sz w:val="32"/>
          <w:szCs w:val="32"/>
        </w:rPr>
        <w:t>20</w:t>
      </w:r>
      <w:r>
        <w:rPr>
          <w:rFonts w:eastAsia="仿宋_GB2312"/>
          <w:sz w:val="32"/>
          <w:szCs w:val="32"/>
        </w:rPr>
        <w:t>20</w:t>
      </w:r>
      <w:r>
        <w:rPr>
          <w:rFonts w:eastAsia="仿宋_GB2312" w:hint="eastAsia"/>
          <w:sz w:val="32"/>
          <w:szCs w:val="32"/>
        </w:rPr>
        <w:t>年</w:t>
      </w:r>
      <w:r>
        <w:rPr>
          <w:rFonts w:eastAsia="仿宋_GB2312" w:hint="eastAsia"/>
          <w:sz w:val="32"/>
          <w:szCs w:val="32"/>
        </w:rPr>
        <w:t>5</w:t>
      </w:r>
      <w:r>
        <w:rPr>
          <w:rFonts w:eastAsia="仿宋_GB2312" w:hint="eastAsia"/>
          <w:sz w:val="32"/>
          <w:szCs w:val="32"/>
        </w:rPr>
        <w:t>月，</w:t>
      </w:r>
      <w:proofErr w:type="gramStart"/>
      <w:r>
        <w:rPr>
          <w:rFonts w:eastAsia="仿宋_GB2312" w:hint="eastAsia"/>
          <w:sz w:val="32"/>
          <w:szCs w:val="32"/>
        </w:rPr>
        <w:t>中评协开始</w:t>
      </w:r>
      <w:proofErr w:type="gramEnd"/>
      <w:r>
        <w:rPr>
          <w:rFonts w:eastAsia="仿宋_GB2312" w:hint="eastAsia"/>
          <w:sz w:val="32"/>
          <w:szCs w:val="32"/>
        </w:rPr>
        <w:t>研究起草专家指引。在调研走访的基础上，于</w:t>
      </w:r>
      <w:r>
        <w:rPr>
          <w:rFonts w:eastAsia="仿宋_GB2312" w:hint="eastAsia"/>
          <w:sz w:val="32"/>
          <w:szCs w:val="32"/>
        </w:rPr>
        <w:t>20</w:t>
      </w:r>
      <w:r>
        <w:rPr>
          <w:rFonts w:eastAsia="仿宋_GB2312"/>
          <w:sz w:val="32"/>
          <w:szCs w:val="32"/>
        </w:rPr>
        <w:t>21</w:t>
      </w:r>
      <w:r>
        <w:rPr>
          <w:rFonts w:eastAsia="仿宋_GB2312" w:hint="eastAsia"/>
          <w:sz w:val="32"/>
          <w:szCs w:val="32"/>
        </w:rPr>
        <w:t>年</w:t>
      </w:r>
      <w:r>
        <w:rPr>
          <w:rFonts w:eastAsia="仿宋_GB2312"/>
          <w:sz w:val="32"/>
          <w:szCs w:val="32"/>
        </w:rPr>
        <w:t>1</w:t>
      </w:r>
      <w:r>
        <w:rPr>
          <w:rFonts w:eastAsia="仿宋_GB2312" w:hint="eastAsia"/>
          <w:sz w:val="32"/>
          <w:szCs w:val="32"/>
        </w:rPr>
        <w:t>月形成建议稿。</w:t>
      </w:r>
      <w:r>
        <w:rPr>
          <w:rFonts w:eastAsia="仿宋_GB2312" w:hint="eastAsia"/>
          <w:sz w:val="32"/>
          <w:szCs w:val="32"/>
        </w:rPr>
        <w:t>2021</w:t>
      </w:r>
      <w:r>
        <w:rPr>
          <w:rFonts w:eastAsia="仿宋_GB2312" w:hint="eastAsia"/>
          <w:sz w:val="32"/>
          <w:szCs w:val="32"/>
        </w:rPr>
        <w:t>年</w:t>
      </w:r>
      <w:r>
        <w:rPr>
          <w:rFonts w:eastAsia="仿宋_GB2312" w:hint="eastAsia"/>
          <w:sz w:val="32"/>
          <w:szCs w:val="32"/>
        </w:rPr>
        <w:t>3</w:t>
      </w:r>
      <w:r>
        <w:rPr>
          <w:rFonts w:eastAsia="仿宋_GB2312" w:hint="eastAsia"/>
          <w:sz w:val="32"/>
          <w:szCs w:val="32"/>
        </w:rPr>
        <w:t>月，</w:t>
      </w:r>
      <w:proofErr w:type="gramStart"/>
      <w:r>
        <w:rPr>
          <w:rFonts w:eastAsia="仿宋_GB2312" w:hint="eastAsia"/>
          <w:sz w:val="32"/>
          <w:szCs w:val="32"/>
        </w:rPr>
        <w:t>中评协</w:t>
      </w:r>
      <w:proofErr w:type="gramEnd"/>
      <w:r>
        <w:rPr>
          <w:rFonts w:eastAsia="仿宋_GB2312" w:hint="eastAsia"/>
          <w:sz w:val="32"/>
          <w:szCs w:val="32"/>
        </w:rPr>
        <w:t>组织专家对专家指引建议稿进行讨论，根据专家意见修改形成征求意见稿。</w:t>
      </w:r>
    </w:p>
    <w:p w:rsidR="00CB5209" w:rsidRDefault="004A678E" w:rsidP="00B93DE5">
      <w:pPr>
        <w:widowControl/>
        <w:spacing w:beforeLines="50" w:before="156" w:afterLines="50" w:after="156" w:line="360" w:lineRule="auto"/>
        <w:ind w:firstLineChars="200" w:firstLine="607"/>
        <w:rPr>
          <w:rFonts w:ascii="黑体" w:eastAsia="黑体" w:cs="宋体"/>
          <w:bCs/>
          <w:kern w:val="0"/>
          <w:sz w:val="32"/>
          <w:szCs w:val="32"/>
        </w:rPr>
      </w:pPr>
      <w:r>
        <w:rPr>
          <w:rFonts w:ascii="黑体" w:eastAsia="黑体" w:cs="宋体" w:hint="eastAsia"/>
          <w:bCs/>
          <w:kern w:val="0"/>
          <w:sz w:val="32"/>
          <w:szCs w:val="32"/>
        </w:rPr>
        <w:t>四、主要内容</w:t>
      </w:r>
    </w:p>
    <w:p w:rsidR="00CB5209" w:rsidRDefault="004A678E" w:rsidP="00B93DE5">
      <w:pPr>
        <w:spacing w:line="620" w:lineRule="atLeast"/>
        <w:ind w:firstLineChars="200" w:firstLine="607"/>
        <w:rPr>
          <w:rFonts w:eastAsia="仿宋_GB2312"/>
          <w:sz w:val="32"/>
          <w:szCs w:val="32"/>
        </w:rPr>
      </w:pPr>
      <w:r>
        <w:rPr>
          <w:rFonts w:eastAsia="仿宋_GB2312" w:hint="eastAsia"/>
          <w:sz w:val="32"/>
          <w:szCs w:val="32"/>
        </w:rPr>
        <w:lastRenderedPageBreak/>
        <w:t>专家</w:t>
      </w:r>
      <w:proofErr w:type="gramStart"/>
      <w:r>
        <w:rPr>
          <w:rFonts w:eastAsia="仿宋_GB2312" w:hint="eastAsia"/>
          <w:sz w:val="32"/>
          <w:szCs w:val="32"/>
        </w:rPr>
        <w:t>指引共</w:t>
      </w:r>
      <w:proofErr w:type="gramEnd"/>
      <w:r>
        <w:rPr>
          <w:rFonts w:eastAsia="仿宋_GB2312" w:hint="eastAsia"/>
          <w:sz w:val="32"/>
          <w:szCs w:val="32"/>
        </w:rPr>
        <w:t>5</w:t>
      </w:r>
      <w:r>
        <w:rPr>
          <w:rFonts w:eastAsia="仿宋_GB2312" w:hint="eastAsia"/>
          <w:sz w:val="32"/>
          <w:szCs w:val="32"/>
        </w:rPr>
        <w:t>章</w:t>
      </w:r>
      <w:r>
        <w:rPr>
          <w:rFonts w:eastAsia="仿宋_GB2312"/>
          <w:sz w:val="32"/>
          <w:szCs w:val="32"/>
        </w:rPr>
        <w:t>35</w:t>
      </w:r>
      <w:r>
        <w:rPr>
          <w:rFonts w:eastAsia="仿宋_GB2312" w:hint="eastAsia"/>
          <w:sz w:val="32"/>
          <w:szCs w:val="32"/>
        </w:rPr>
        <w:t>条，分别为“引言”“基本遵循”“操作要求”“评估方法”和“资产评估报告及披露要求”。</w:t>
      </w:r>
    </w:p>
    <w:p w:rsidR="00CB5209" w:rsidRDefault="004A678E" w:rsidP="00B93DE5">
      <w:pPr>
        <w:spacing w:line="620" w:lineRule="atLeast"/>
        <w:ind w:firstLineChars="200" w:firstLine="607"/>
        <w:rPr>
          <w:rFonts w:eastAsia="仿宋_GB2312"/>
          <w:sz w:val="32"/>
          <w:szCs w:val="32"/>
        </w:rPr>
      </w:pPr>
      <w:r>
        <w:rPr>
          <w:rFonts w:eastAsia="仿宋_GB2312" w:hint="eastAsia"/>
          <w:sz w:val="32"/>
          <w:szCs w:val="32"/>
        </w:rPr>
        <w:t>首先，“引言”和“基本遵循”两个模块在明确专家指引制定目的，境外并购、境外并购资产评估相关定义，以及专家指引适用范围的基础上，对把握境外并购资产评估涉及的监管审查要求、职业道德准则要求、专业胜任能力要求和</w:t>
      </w:r>
      <w:proofErr w:type="gramStart"/>
      <w:r>
        <w:rPr>
          <w:rFonts w:eastAsia="仿宋_GB2312" w:hint="eastAsia"/>
          <w:sz w:val="32"/>
          <w:szCs w:val="32"/>
        </w:rPr>
        <w:t>恰当履行</w:t>
      </w:r>
      <w:proofErr w:type="gramEnd"/>
      <w:r>
        <w:rPr>
          <w:rFonts w:eastAsia="仿宋_GB2312" w:hint="eastAsia"/>
          <w:sz w:val="32"/>
          <w:szCs w:val="32"/>
        </w:rPr>
        <w:t>核查验证程序进行了重点提示。</w:t>
      </w:r>
    </w:p>
    <w:p w:rsidR="00CB5209" w:rsidRDefault="004A678E" w:rsidP="00B93DE5">
      <w:pPr>
        <w:spacing w:line="620" w:lineRule="atLeast"/>
        <w:ind w:firstLineChars="200" w:firstLine="607"/>
        <w:rPr>
          <w:rFonts w:eastAsia="仿宋_GB2312"/>
          <w:sz w:val="32"/>
          <w:szCs w:val="32"/>
        </w:rPr>
      </w:pPr>
      <w:r>
        <w:rPr>
          <w:rFonts w:eastAsia="仿宋_GB2312" w:hint="eastAsia"/>
          <w:sz w:val="32"/>
          <w:szCs w:val="32"/>
        </w:rPr>
        <w:t>其次，“操作要求”模块从境外并购资产评估业务整体流程出发，提示了资产评估机构在执行境外并购资产评估业务时各个阶段、多个方面需要关注的重要事项，对境外并购风险及影响因素、资产评估业务受理、资产评估委托合同签订、资产评估业务执行、利用专家工作及相关报告、法律权属核查、评估结论形成、核查验证及弥补措施、整理归集评估档案等关键环节提出了合理有效的操作参考。</w:t>
      </w:r>
    </w:p>
    <w:p w:rsidR="00CB5209" w:rsidRDefault="004A678E" w:rsidP="00B93DE5">
      <w:pPr>
        <w:spacing w:line="620" w:lineRule="atLeast"/>
        <w:ind w:firstLineChars="200" w:firstLine="607"/>
        <w:rPr>
          <w:rFonts w:eastAsia="仿宋_GB2312"/>
          <w:sz w:val="32"/>
          <w:szCs w:val="32"/>
        </w:rPr>
      </w:pPr>
      <w:r>
        <w:rPr>
          <w:rFonts w:eastAsia="仿宋_GB2312" w:hint="eastAsia"/>
          <w:sz w:val="32"/>
          <w:szCs w:val="32"/>
        </w:rPr>
        <w:t>再次，“评估方法”模块从市场法、收益法、成本法（资产基础法）出发，论述了境外并购资产评估业务中三种评估方法选择的适用性、评定估算的重点、重要参数的选择等，归纳并总结了在境外并购资产评估实务中的操作要点，列示了三种评估方法在具体评定估算时可能会涉及到的重点和难点问题。</w:t>
      </w:r>
    </w:p>
    <w:p w:rsidR="00CB5209" w:rsidRDefault="004A678E" w:rsidP="00B93DE5">
      <w:pPr>
        <w:spacing w:line="620" w:lineRule="atLeast"/>
        <w:ind w:firstLineChars="200" w:firstLine="607"/>
        <w:rPr>
          <w:rFonts w:eastAsia="仿宋_GB2312"/>
          <w:sz w:val="32"/>
          <w:szCs w:val="32"/>
        </w:rPr>
      </w:pPr>
      <w:r>
        <w:rPr>
          <w:rFonts w:eastAsia="仿宋_GB2312" w:hint="eastAsia"/>
          <w:sz w:val="32"/>
          <w:szCs w:val="32"/>
        </w:rPr>
        <w:t>最后，“资产评估报告及披露要求”模块，对境外并购资产评估业务相关资产评估报告的编制要求、评估假设的设定、特殊事项的披露以及评估报告的使用限制等方面进行了阐述，总</w:t>
      </w:r>
      <w:r>
        <w:rPr>
          <w:rFonts w:eastAsia="仿宋_GB2312" w:hint="eastAsia"/>
          <w:sz w:val="32"/>
          <w:szCs w:val="32"/>
        </w:rPr>
        <w:lastRenderedPageBreak/>
        <w:t>结了境外并购资产评估报告编制中的特殊要点和关注事项，提示了境外并购资产评估报告中常用的评估假设以及设定假设时应考虑的主要因素，以及资产评估报告中需要重点披露的内容和使用限制。</w:t>
      </w:r>
    </w:p>
    <w:p w:rsidR="00CB5209" w:rsidRDefault="004A678E" w:rsidP="00B93DE5">
      <w:pPr>
        <w:spacing w:line="620" w:lineRule="atLeast"/>
        <w:ind w:firstLineChars="200" w:firstLine="607"/>
        <w:rPr>
          <w:rFonts w:eastAsia="仿宋_GB2312"/>
          <w:sz w:val="32"/>
          <w:szCs w:val="32"/>
        </w:rPr>
      </w:pPr>
      <w:r>
        <w:rPr>
          <w:rFonts w:eastAsia="仿宋_GB2312" w:hint="eastAsia"/>
          <w:sz w:val="32"/>
          <w:szCs w:val="32"/>
        </w:rPr>
        <w:t>另外，专家指引在最后还增加了“境外并购资产评估资料相关查询网站”作为附件内容，提升了实用性。</w:t>
      </w:r>
    </w:p>
    <w:p w:rsidR="00CB5209" w:rsidRDefault="004A678E" w:rsidP="00B93DE5">
      <w:pPr>
        <w:widowControl/>
        <w:spacing w:line="360" w:lineRule="auto"/>
        <w:ind w:firstLineChars="200" w:firstLine="607"/>
        <w:rPr>
          <w:rFonts w:ascii="黑体" w:eastAsia="黑体" w:cs="宋体"/>
          <w:bCs/>
          <w:kern w:val="0"/>
          <w:sz w:val="32"/>
          <w:szCs w:val="32"/>
        </w:rPr>
      </w:pPr>
      <w:r>
        <w:rPr>
          <w:rFonts w:ascii="黑体" w:eastAsia="黑体" w:cs="宋体" w:hint="eastAsia"/>
          <w:bCs/>
          <w:kern w:val="0"/>
          <w:sz w:val="32"/>
          <w:szCs w:val="32"/>
        </w:rPr>
        <w:t>五、特殊事项说明</w:t>
      </w:r>
    </w:p>
    <w:p w:rsidR="00CB5209" w:rsidRDefault="004A678E" w:rsidP="00B93DE5">
      <w:pPr>
        <w:widowControl/>
        <w:spacing w:line="360" w:lineRule="auto"/>
        <w:ind w:firstLineChars="200" w:firstLine="607"/>
        <w:rPr>
          <w:rFonts w:ascii="楷体" w:eastAsia="楷体" w:cs="宋体"/>
          <w:bCs/>
          <w:kern w:val="0"/>
          <w:sz w:val="32"/>
          <w:szCs w:val="32"/>
        </w:rPr>
      </w:pPr>
      <w:r>
        <w:rPr>
          <w:rFonts w:ascii="楷体" w:eastAsia="楷体" w:cs="宋体" w:hint="eastAsia"/>
          <w:bCs/>
          <w:kern w:val="0"/>
          <w:sz w:val="32"/>
          <w:szCs w:val="32"/>
        </w:rPr>
        <w:t>（一）评估资料的核查验证</w:t>
      </w:r>
    </w:p>
    <w:p w:rsidR="00CB5209" w:rsidRDefault="004A678E" w:rsidP="00B93DE5">
      <w:pPr>
        <w:spacing w:line="360" w:lineRule="auto"/>
        <w:ind w:firstLineChars="200" w:firstLine="607"/>
        <w:rPr>
          <w:rFonts w:eastAsia="仿宋_GB2312"/>
          <w:sz w:val="32"/>
          <w:szCs w:val="32"/>
        </w:rPr>
      </w:pPr>
      <w:r>
        <w:rPr>
          <w:rFonts w:eastAsia="仿宋_GB2312"/>
          <w:sz w:val="32"/>
          <w:szCs w:val="32"/>
        </w:rPr>
        <w:t>《资产评估法》</w:t>
      </w:r>
      <w:r>
        <w:rPr>
          <w:rFonts w:eastAsia="仿宋_GB2312" w:hint="eastAsia"/>
          <w:sz w:val="32"/>
          <w:szCs w:val="32"/>
        </w:rPr>
        <w:t>和资产评估准则</w:t>
      </w:r>
      <w:r>
        <w:rPr>
          <w:rFonts w:eastAsia="仿宋_GB2312"/>
          <w:sz w:val="32"/>
          <w:szCs w:val="32"/>
        </w:rPr>
        <w:t>规定</w:t>
      </w:r>
      <w:r w:rsidR="00B93DE5">
        <w:rPr>
          <w:rFonts w:eastAsia="仿宋_GB2312" w:hint="eastAsia"/>
          <w:sz w:val="32"/>
          <w:szCs w:val="32"/>
        </w:rPr>
        <w:t>：“资产评估专业人员</w:t>
      </w:r>
      <w:r w:rsidR="00B93DE5">
        <w:rPr>
          <w:rFonts w:eastAsia="仿宋_GB2312"/>
          <w:sz w:val="32"/>
          <w:szCs w:val="32"/>
        </w:rPr>
        <w:t>应当对评估活动中使用的有关文件、证明和资料的真实性、准确性、完整性</w:t>
      </w:r>
      <w:r w:rsidR="00B93DE5">
        <w:rPr>
          <w:rFonts w:eastAsia="仿宋_GB2312" w:hint="eastAsia"/>
          <w:sz w:val="32"/>
          <w:szCs w:val="32"/>
        </w:rPr>
        <w:t>、合法性</w:t>
      </w:r>
      <w:r w:rsidR="00B93DE5">
        <w:rPr>
          <w:rFonts w:eastAsia="仿宋_GB2312"/>
          <w:sz w:val="32"/>
          <w:szCs w:val="32"/>
        </w:rPr>
        <w:t>进行核查和验证</w:t>
      </w:r>
      <w:r w:rsidR="00B93DE5">
        <w:rPr>
          <w:rFonts w:eastAsia="仿宋_GB2312" w:hint="eastAsia"/>
          <w:sz w:val="32"/>
          <w:szCs w:val="32"/>
        </w:rPr>
        <w:t>”</w:t>
      </w:r>
      <w:r>
        <w:rPr>
          <w:rFonts w:eastAsia="仿宋_GB2312"/>
          <w:sz w:val="32"/>
          <w:szCs w:val="32"/>
        </w:rPr>
        <w:t>。境外并购资产评估实践中，评估使用的大多数</w:t>
      </w:r>
      <w:r>
        <w:rPr>
          <w:rFonts w:eastAsia="仿宋_GB2312" w:hint="eastAsia"/>
          <w:sz w:val="32"/>
          <w:szCs w:val="32"/>
        </w:rPr>
        <w:t>有关</w:t>
      </w:r>
      <w:r>
        <w:rPr>
          <w:rFonts w:eastAsia="仿宋_GB2312"/>
          <w:sz w:val="32"/>
          <w:szCs w:val="32"/>
        </w:rPr>
        <w:t>文件、证明</w:t>
      </w:r>
      <w:r>
        <w:rPr>
          <w:rFonts w:eastAsia="仿宋_GB2312" w:hint="eastAsia"/>
          <w:sz w:val="32"/>
          <w:szCs w:val="32"/>
        </w:rPr>
        <w:t>、</w:t>
      </w:r>
      <w:r>
        <w:rPr>
          <w:rFonts w:eastAsia="仿宋_GB2312"/>
          <w:sz w:val="32"/>
          <w:szCs w:val="32"/>
        </w:rPr>
        <w:t>资料和</w:t>
      </w:r>
      <w:r>
        <w:rPr>
          <w:rFonts w:eastAsia="仿宋_GB2312" w:hint="eastAsia"/>
          <w:sz w:val="32"/>
          <w:szCs w:val="32"/>
        </w:rPr>
        <w:t>数据</w:t>
      </w:r>
      <w:r>
        <w:rPr>
          <w:rFonts w:eastAsia="仿宋_GB2312"/>
          <w:sz w:val="32"/>
          <w:szCs w:val="32"/>
        </w:rPr>
        <w:t>，</w:t>
      </w:r>
      <w:r>
        <w:rPr>
          <w:rFonts w:eastAsia="仿宋_GB2312" w:hint="eastAsia"/>
          <w:sz w:val="32"/>
          <w:szCs w:val="32"/>
        </w:rPr>
        <w:t>通常</w:t>
      </w:r>
      <w:r>
        <w:rPr>
          <w:rFonts w:eastAsia="仿宋_GB2312"/>
          <w:sz w:val="32"/>
          <w:szCs w:val="32"/>
        </w:rPr>
        <w:t>是通过</w:t>
      </w:r>
      <w:r>
        <w:rPr>
          <w:rFonts w:eastAsia="仿宋_GB2312" w:hint="eastAsia"/>
          <w:sz w:val="32"/>
          <w:szCs w:val="32"/>
        </w:rPr>
        <w:t>多个中介团队或者专家共同协作完成的，为了增强操作性，专家指引尽可能对境外并购评估执行过程中涉及的中介团队协作工作、利用专家工作及相关报告以及其他方式提出了建议性做法。</w:t>
      </w:r>
    </w:p>
    <w:p w:rsidR="00CB5209" w:rsidRDefault="004A678E" w:rsidP="00B93DE5">
      <w:pPr>
        <w:widowControl/>
        <w:spacing w:line="360" w:lineRule="auto"/>
        <w:ind w:firstLineChars="200" w:firstLine="607"/>
        <w:rPr>
          <w:rFonts w:ascii="楷体" w:eastAsia="楷体" w:cs="宋体"/>
          <w:bCs/>
          <w:kern w:val="0"/>
          <w:sz w:val="32"/>
          <w:szCs w:val="32"/>
        </w:rPr>
      </w:pPr>
      <w:r>
        <w:rPr>
          <w:rFonts w:ascii="楷体" w:eastAsia="楷体" w:cs="宋体" w:hint="eastAsia"/>
          <w:bCs/>
          <w:kern w:val="0"/>
          <w:sz w:val="32"/>
          <w:szCs w:val="32"/>
        </w:rPr>
        <w:t>（二）评估程序受限处理</w:t>
      </w:r>
    </w:p>
    <w:p w:rsidR="00CB5209" w:rsidRDefault="004A678E" w:rsidP="00B93DE5">
      <w:pPr>
        <w:widowControl/>
        <w:spacing w:line="360" w:lineRule="auto"/>
        <w:ind w:firstLineChars="200" w:firstLine="607"/>
        <w:rPr>
          <w:rFonts w:eastAsia="仿宋_GB2312"/>
          <w:sz w:val="32"/>
          <w:szCs w:val="32"/>
        </w:rPr>
      </w:pPr>
      <w:r>
        <w:rPr>
          <w:rFonts w:eastAsia="仿宋_GB2312" w:hint="eastAsia"/>
          <w:sz w:val="32"/>
          <w:szCs w:val="32"/>
        </w:rPr>
        <w:t>与境内并购资产评估业务一个显著的区别是，境外并购资产评估业务的标的资产分布于境外，现场评估程序受限问题十分突出，一方面是资产评估专业人员不熟悉境外环境，另一方面是境外并购标的资产现场核查配合程度有限，评估程序执行成本难以有效控制，导致部分评估程序执行受限，难以充分获</w:t>
      </w:r>
      <w:r>
        <w:rPr>
          <w:rFonts w:eastAsia="仿宋_GB2312" w:hint="eastAsia"/>
          <w:sz w:val="32"/>
          <w:szCs w:val="32"/>
        </w:rPr>
        <w:lastRenderedPageBreak/>
        <w:t>取评估资料。借鉴境外评估实践经验，建议通过采取适当的弥补措施，履行合理的替代程序，完善评估报告的具体披露内容，客观揭示问题，防范可能由此引发的执业风险。</w:t>
      </w:r>
    </w:p>
    <w:p w:rsidR="00CB5209" w:rsidRDefault="004A678E" w:rsidP="00B93DE5">
      <w:pPr>
        <w:widowControl/>
        <w:spacing w:line="360" w:lineRule="auto"/>
        <w:ind w:firstLineChars="200" w:firstLine="607"/>
        <w:rPr>
          <w:rFonts w:ascii="楷体" w:eastAsia="楷体" w:cs="宋体"/>
          <w:bCs/>
          <w:kern w:val="0"/>
          <w:sz w:val="32"/>
          <w:szCs w:val="32"/>
        </w:rPr>
      </w:pPr>
      <w:r>
        <w:rPr>
          <w:rFonts w:ascii="楷体" w:eastAsia="楷体" w:cs="宋体" w:hint="eastAsia"/>
          <w:bCs/>
          <w:kern w:val="0"/>
          <w:sz w:val="32"/>
          <w:szCs w:val="32"/>
        </w:rPr>
        <w:t>（三）关于评估方法的问题</w:t>
      </w:r>
    </w:p>
    <w:p w:rsidR="00CB5209" w:rsidRDefault="004A678E" w:rsidP="00B93DE5">
      <w:pPr>
        <w:widowControl/>
        <w:spacing w:line="360" w:lineRule="auto"/>
        <w:ind w:firstLineChars="200" w:firstLine="607"/>
        <w:rPr>
          <w:rFonts w:eastAsia="仿宋_GB2312"/>
          <w:sz w:val="32"/>
          <w:szCs w:val="32"/>
        </w:rPr>
      </w:pPr>
      <w:r>
        <w:rPr>
          <w:rFonts w:eastAsia="仿宋_GB2312" w:hint="eastAsia"/>
          <w:sz w:val="32"/>
          <w:szCs w:val="32"/>
        </w:rPr>
        <w:t>资产评估方法，有两个层面的问题，一是评估方法的选择问题，另一个是评估方法的使用问题。针对本指引定位于提供境外并购资产评估业务类型的专家意见，在操作要求方面，重点提示了三种基本评估方法在境外并购资产评估业务使用中涉及的重点和难点，且是区别于境内并购资产评估业务类型评估方法的使用问题，以增强指引的针对性和可操作性。而对于其他评估方法通常问题，遵循其他相关评估准则即可。</w:t>
      </w:r>
    </w:p>
    <w:sectPr w:rsidR="00CB5209">
      <w:footerReference w:type="even" r:id="rId8"/>
      <w:footerReference w:type="default" r:id="rId9"/>
      <w:pgSz w:w="11906" w:h="16838"/>
      <w:pgMar w:top="1440" w:right="1797" w:bottom="1440" w:left="1797" w:header="851" w:footer="992" w:gutter="0"/>
      <w:pgNumType w:fmt="numberInDash"/>
      <w:cols w:space="720"/>
      <w:docGrid w:type="linesAndChars" w:linePitch="312" w:charSpace="-34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2570A7" w15:done="0"/>
  <w15:commentEx w15:paraId="145A6F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AC0" w:rsidRDefault="00D85AC0">
      <w:r>
        <w:separator/>
      </w:r>
    </w:p>
  </w:endnote>
  <w:endnote w:type="continuationSeparator" w:id="0">
    <w:p w:rsidR="00D85AC0" w:rsidRDefault="00D8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019622"/>
    </w:sdtPr>
    <w:sdtEndPr>
      <w:rPr>
        <w:rFonts w:ascii="宋体"/>
        <w:sz w:val="28"/>
        <w:szCs w:val="28"/>
      </w:rPr>
    </w:sdtEndPr>
    <w:sdtContent>
      <w:p w:rsidR="00CB5209" w:rsidRDefault="004A678E">
        <w:pPr>
          <w:pStyle w:val="a5"/>
          <w:rPr>
            <w:rFonts w:ascii="宋体"/>
            <w:sz w:val="28"/>
            <w:szCs w:val="28"/>
          </w:rPr>
        </w:pPr>
        <w:r>
          <w:rPr>
            <w:rFonts w:ascii="宋体"/>
            <w:sz w:val="28"/>
            <w:szCs w:val="28"/>
          </w:rPr>
          <w:fldChar w:fldCharType="begin"/>
        </w:r>
        <w:r>
          <w:rPr>
            <w:rFonts w:ascii="宋体"/>
            <w:sz w:val="28"/>
            <w:szCs w:val="28"/>
          </w:rPr>
          <w:instrText>PAGE   \* MERGEFORMAT</w:instrText>
        </w:r>
        <w:r>
          <w:rPr>
            <w:rFonts w:ascii="宋体"/>
            <w:sz w:val="28"/>
            <w:szCs w:val="28"/>
          </w:rPr>
          <w:fldChar w:fldCharType="separate"/>
        </w:r>
        <w:r w:rsidR="00201EB3" w:rsidRPr="00201EB3">
          <w:rPr>
            <w:rFonts w:ascii="宋体"/>
            <w:noProof/>
            <w:sz w:val="28"/>
            <w:szCs w:val="28"/>
            <w:lang w:val="zh-CN"/>
          </w:rPr>
          <w:t>-</w:t>
        </w:r>
        <w:r w:rsidR="00201EB3">
          <w:rPr>
            <w:rFonts w:ascii="宋体"/>
            <w:noProof/>
            <w:sz w:val="28"/>
            <w:szCs w:val="28"/>
          </w:rPr>
          <w:t xml:space="preserve"> 4 -</w:t>
        </w:r>
        <w:r>
          <w:rPr>
            <w:rFonts w:asci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680543"/>
    </w:sdtPr>
    <w:sdtEndPr>
      <w:rPr>
        <w:rFonts w:ascii="宋体"/>
        <w:sz w:val="28"/>
        <w:szCs w:val="28"/>
      </w:rPr>
    </w:sdtEndPr>
    <w:sdtContent>
      <w:p w:rsidR="00CB5209" w:rsidRDefault="004A678E">
        <w:pPr>
          <w:pStyle w:val="a5"/>
          <w:jc w:val="right"/>
          <w:rPr>
            <w:rFonts w:ascii="宋体"/>
            <w:sz w:val="28"/>
            <w:szCs w:val="28"/>
          </w:rPr>
        </w:pPr>
        <w:r>
          <w:rPr>
            <w:rFonts w:ascii="宋体"/>
            <w:sz w:val="28"/>
            <w:szCs w:val="28"/>
          </w:rPr>
          <w:fldChar w:fldCharType="begin"/>
        </w:r>
        <w:r>
          <w:rPr>
            <w:rFonts w:ascii="宋体"/>
            <w:sz w:val="28"/>
            <w:szCs w:val="28"/>
          </w:rPr>
          <w:instrText>PAGE   \* MERGEFORMAT</w:instrText>
        </w:r>
        <w:r>
          <w:rPr>
            <w:rFonts w:ascii="宋体"/>
            <w:sz w:val="28"/>
            <w:szCs w:val="28"/>
          </w:rPr>
          <w:fldChar w:fldCharType="separate"/>
        </w:r>
        <w:r w:rsidR="00201EB3" w:rsidRPr="00201EB3">
          <w:rPr>
            <w:rFonts w:ascii="宋体"/>
            <w:noProof/>
            <w:sz w:val="28"/>
            <w:szCs w:val="28"/>
            <w:lang w:val="zh-CN"/>
          </w:rPr>
          <w:t>-</w:t>
        </w:r>
        <w:r w:rsidR="00201EB3">
          <w:rPr>
            <w:rFonts w:ascii="宋体"/>
            <w:noProof/>
            <w:sz w:val="28"/>
            <w:szCs w:val="28"/>
          </w:rPr>
          <w:t xml:space="preserve"> 5 -</w:t>
        </w:r>
        <w:r>
          <w:rPr>
            <w:rFonts w:ascii="宋体"/>
            <w:sz w:val="28"/>
            <w:szCs w:val="28"/>
          </w:rPr>
          <w:fldChar w:fldCharType="end"/>
        </w:r>
      </w:p>
    </w:sdtContent>
  </w:sdt>
  <w:p w:rsidR="00CB5209" w:rsidRDefault="00CB52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AC0" w:rsidRDefault="00D85AC0">
      <w:r>
        <w:separator/>
      </w:r>
    </w:p>
  </w:footnote>
  <w:footnote w:type="continuationSeparator" w:id="0">
    <w:p w:rsidR="00D85AC0" w:rsidRDefault="00D85AC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阔天高">
    <w15:presenceInfo w15:providerId="WPS Office" w15:userId="4173548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9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971173"/>
    <w:rsid w:val="00201EB3"/>
    <w:rsid w:val="00400493"/>
    <w:rsid w:val="004A678E"/>
    <w:rsid w:val="008F3E04"/>
    <w:rsid w:val="00971173"/>
    <w:rsid w:val="00B93DE5"/>
    <w:rsid w:val="00C23EA0"/>
    <w:rsid w:val="00CB5209"/>
    <w:rsid w:val="00D85AC0"/>
    <w:rsid w:val="00FC4FE3"/>
    <w:rsid w:val="25BE3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uiPriority="0" w:unhideWhenUsed="0"/>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rPr>
      <w:rFonts w:ascii="宋体"/>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pPr>
      <w:snapToGrid w:val="0"/>
      <w:jc w:val="left"/>
    </w:pPr>
    <w:rPr>
      <w:sz w:val="18"/>
      <w:szCs w:val="18"/>
    </w:rPr>
  </w:style>
  <w:style w:type="paragraph" w:styleId="a8">
    <w:name w:val="annotation subject"/>
    <w:basedOn w:val="a3"/>
    <w:next w:val="a3"/>
    <w:rPr>
      <w:b/>
      <w:bCs/>
    </w:rPr>
  </w:style>
  <w:style w:type="character" w:styleId="a9">
    <w:name w:val="annotation reference"/>
    <w:basedOn w:val="a0"/>
    <w:qFormat/>
    <w:rPr>
      <w:sz w:val="21"/>
      <w:szCs w:val="21"/>
    </w:rPr>
  </w:style>
  <w:style w:type="character" w:styleId="aa">
    <w:name w:val="footnote reference"/>
    <w:rPr>
      <w:vertAlign w:val="superscript"/>
    </w:rPr>
  </w:style>
  <w:style w:type="paragraph" w:customStyle="1" w:styleId="10">
    <w:name w:val="修订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uiPriority="0" w:unhideWhenUsed="0"/>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rPr>
      <w:rFonts w:ascii="宋体"/>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pPr>
      <w:snapToGrid w:val="0"/>
      <w:jc w:val="left"/>
    </w:pPr>
    <w:rPr>
      <w:sz w:val="18"/>
      <w:szCs w:val="18"/>
    </w:rPr>
  </w:style>
  <w:style w:type="paragraph" w:styleId="a8">
    <w:name w:val="annotation subject"/>
    <w:basedOn w:val="a3"/>
    <w:next w:val="a3"/>
    <w:rPr>
      <w:b/>
      <w:bCs/>
    </w:rPr>
  </w:style>
  <w:style w:type="character" w:styleId="a9">
    <w:name w:val="annotation reference"/>
    <w:basedOn w:val="a0"/>
    <w:qFormat/>
    <w:rPr>
      <w:sz w:val="21"/>
      <w:szCs w:val="21"/>
    </w:rPr>
  </w:style>
  <w:style w:type="character" w:styleId="aa">
    <w:name w:val="footnote reference"/>
    <w:rPr>
      <w:vertAlign w:val="superscript"/>
    </w:rPr>
  </w:style>
  <w:style w:type="paragraph" w:customStyle="1" w:styleId="10">
    <w:name w:val="修订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c:creator>
  <cp:lastModifiedBy>郭柯阳</cp:lastModifiedBy>
  <cp:revision>5</cp:revision>
  <cp:lastPrinted>2020-09-23T06:52:00Z</cp:lastPrinted>
  <dcterms:created xsi:type="dcterms:W3CDTF">2021-04-26T03:02:00Z</dcterms:created>
  <dcterms:modified xsi:type="dcterms:W3CDTF">2021-04-29T07:54:00Z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58DD7C66633F4DDF8E81BDBA7A7071FD</vt:lpwstr>
  </property>
</Properties>
</file>